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C35E2">
        <w:trPr>
          <w:trHeight w:hRule="exact" w:val="1528"/>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5543" w:type="dxa"/>
            <w:gridSpan w:val="4"/>
            <w:shd w:val="clear" w:color="000000" w:fill="FFFFFF"/>
            <w:tcMar>
              <w:left w:w="34" w:type="dxa"/>
              <w:right w:w="34" w:type="dxa"/>
            </w:tcMar>
          </w:tcPr>
          <w:p w:rsidR="00DC35E2" w:rsidRDefault="00F757F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DC35E2">
        <w:trPr>
          <w:trHeight w:hRule="exact" w:val="138"/>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585"/>
        </w:trPr>
        <w:tc>
          <w:tcPr>
            <w:tcW w:w="10221" w:type="dxa"/>
            <w:gridSpan w:val="10"/>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C35E2" w:rsidRDefault="00F757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35E2">
        <w:trPr>
          <w:trHeight w:hRule="exact" w:val="314"/>
        </w:trPr>
        <w:tc>
          <w:tcPr>
            <w:tcW w:w="10221" w:type="dxa"/>
            <w:gridSpan w:val="10"/>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C35E2">
        <w:trPr>
          <w:trHeight w:hRule="exact" w:val="211"/>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277"/>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3842" w:type="dxa"/>
            <w:gridSpan w:val="2"/>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УТВЕРЖДАЮ</w:t>
            </w:r>
          </w:p>
        </w:tc>
      </w:tr>
      <w:tr w:rsidR="00DC35E2">
        <w:trPr>
          <w:trHeight w:hRule="exact" w:val="138"/>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277"/>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3842" w:type="dxa"/>
            <w:gridSpan w:val="2"/>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C35E2">
        <w:trPr>
          <w:trHeight w:hRule="exact" w:val="138"/>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277"/>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3842" w:type="dxa"/>
            <w:gridSpan w:val="2"/>
            <w:shd w:val="clear" w:color="000000" w:fill="FFFFFF"/>
            <w:tcMar>
              <w:left w:w="34" w:type="dxa"/>
              <w:right w:w="34" w:type="dxa"/>
            </w:tcMar>
          </w:tcPr>
          <w:p w:rsidR="00DC35E2" w:rsidRDefault="00F757F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C35E2">
        <w:trPr>
          <w:trHeight w:hRule="exact" w:val="138"/>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277"/>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3842" w:type="dxa"/>
            <w:gridSpan w:val="2"/>
            <w:shd w:val="clear" w:color="000000" w:fill="FFFFFF"/>
            <w:tcMar>
              <w:left w:w="34" w:type="dxa"/>
              <w:right w:w="34" w:type="dxa"/>
            </w:tcMar>
          </w:tcPr>
          <w:p w:rsidR="00DC35E2" w:rsidRDefault="00F757FD">
            <w:pPr>
              <w:spacing w:after="0" w:line="240" w:lineRule="auto"/>
              <w:jc w:val="right"/>
              <w:rPr>
                <w:sz w:val="24"/>
                <w:szCs w:val="24"/>
              </w:rPr>
            </w:pPr>
            <w:r>
              <w:rPr>
                <w:rFonts w:ascii="Times New Roman" w:hAnsi="Times New Roman" w:cs="Times New Roman"/>
                <w:color w:val="000000"/>
                <w:sz w:val="24"/>
                <w:szCs w:val="24"/>
              </w:rPr>
              <w:t>30.08.2021 г.</w:t>
            </w:r>
          </w:p>
        </w:tc>
      </w:tr>
      <w:tr w:rsidR="00DC35E2">
        <w:trPr>
          <w:trHeight w:hRule="exact" w:val="277"/>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416"/>
        </w:trPr>
        <w:tc>
          <w:tcPr>
            <w:tcW w:w="10221" w:type="dxa"/>
            <w:gridSpan w:val="10"/>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35E2">
        <w:trPr>
          <w:trHeight w:hRule="exact" w:val="1135"/>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4834" w:type="dxa"/>
            <w:gridSpan w:val="5"/>
            <w:shd w:val="clear" w:color="000000" w:fill="FFFFFF"/>
            <w:tcMar>
              <w:left w:w="34" w:type="dxa"/>
              <w:right w:w="34" w:type="dxa"/>
            </w:tcMar>
          </w:tcPr>
          <w:p w:rsidR="00DC35E2" w:rsidRDefault="00F757FD">
            <w:pPr>
              <w:spacing w:after="0" w:line="240" w:lineRule="auto"/>
              <w:jc w:val="center"/>
              <w:rPr>
                <w:sz w:val="32"/>
                <w:szCs w:val="32"/>
              </w:rPr>
            </w:pPr>
            <w:r>
              <w:rPr>
                <w:rFonts w:ascii="Times New Roman" w:hAnsi="Times New Roman" w:cs="Times New Roman"/>
                <w:color w:val="000000"/>
                <w:sz w:val="32"/>
                <w:szCs w:val="32"/>
              </w:rPr>
              <w:t>Анализ и оценка рисков хозяйствующего субъекта</w:t>
            </w:r>
          </w:p>
          <w:p w:rsidR="00DC35E2" w:rsidRDefault="00F757FD">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DC35E2" w:rsidRDefault="00DC35E2"/>
        </w:tc>
      </w:tr>
      <w:tr w:rsidR="00DC35E2">
        <w:trPr>
          <w:trHeight w:hRule="exact" w:val="277"/>
        </w:trPr>
        <w:tc>
          <w:tcPr>
            <w:tcW w:w="10221" w:type="dxa"/>
            <w:gridSpan w:val="10"/>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35E2">
        <w:trPr>
          <w:trHeight w:hRule="exact" w:val="1389"/>
        </w:trPr>
        <w:tc>
          <w:tcPr>
            <w:tcW w:w="143" w:type="dxa"/>
          </w:tcPr>
          <w:p w:rsidR="00DC35E2" w:rsidRDefault="00DC35E2"/>
        </w:tc>
        <w:tc>
          <w:tcPr>
            <w:tcW w:w="285" w:type="dxa"/>
          </w:tcPr>
          <w:p w:rsidR="00DC35E2" w:rsidRDefault="00DC35E2"/>
        </w:tc>
        <w:tc>
          <w:tcPr>
            <w:tcW w:w="9795" w:type="dxa"/>
            <w:gridSpan w:val="8"/>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C35E2" w:rsidRDefault="00F757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C35E2" w:rsidRDefault="00F757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C35E2">
        <w:trPr>
          <w:trHeight w:hRule="exact" w:val="138"/>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833"/>
        </w:trPr>
        <w:tc>
          <w:tcPr>
            <w:tcW w:w="10221" w:type="dxa"/>
            <w:gridSpan w:val="10"/>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C35E2">
        <w:trPr>
          <w:trHeight w:hRule="exact" w:val="416"/>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277"/>
        </w:trPr>
        <w:tc>
          <w:tcPr>
            <w:tcW w:w="3984" w:type="dxa"/>
            <w:gridSpan w:val="5"/>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155"/>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ФИНАНСЫ И ЭКОНОМИКА</w:t>
            </w:r>
          </w:p>
        </w:tc>
      </w:tr>
      <w:tr w:rsidR="00DC35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C35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C35E2" w:rsidRDefault="00DC35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r>
      <w:tr w:rsidR="00DC35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ВНУТРЕННИЙ АУДИТОР</w:t>
            </w:r>
          </w:p>
        </w:tc>
      </w:tr>
      <w:tr w:rsidR="00DC35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C35E2" w:rsidRDefault="00DC35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r>
      <w:tr w:rsidR="00DC35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АУДИТОР</w:t>
            </w:r>
          </w:p>
        </w:tc>
      </w:tr>
      <w:tr w:rsidR="00DC35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C35E2" w:rsidRDefault="00DC35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r>
      <w:tr w:rsidR="00DC35E2">
        <w:trPr>
          <w:trHeight w:hRule="exact" w:val="124"/>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277"/>
        </w:trPr>
        <w:tc>
          <w:tcPr>
            <w:tcW w:w="5118" w:type="dxa"/>
            <w:gridSpan w:val="7"/>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C35E2">
        <w:trPr>
          <w:trHeight w:hRule="exact" w:val="577"/>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5118" w:type="dxa"/>
            <w:gridSpan w:val="3"/>
            <w:vMerge/>
            <w:shd w:val="clear" w:color="000000" w:fill="FFFFFF"/>
            <w:tcMar>
              <w:left w:w="34" w:type="dxa"/>
              <w:right w:w="34" w:type="dxa"/>
            </w:tcMar>
          </w:tcPr>
          <w:p w:rsidR="00DC35E2" w:rsidRDefault="00DC35E2"/>
        </w:tc>
      </w:tr>
      <w:tr w:rsidR="00DC35E2">
        <w:trPr>
          <w:trHeight w:hRule="exact" w:val="1453"/>
        </w:trPr>
        <w:tc>
          <w:tcPr>
            <w:tcW w:w="143" w:type="dxa"/>
          </w:tcPr>
          <w:p w:rsidR="00DC35E2" w:rsidRDefault="00DC35E2"/>
        </w:tc>
        <w:tc>
          <w:tcPr>
            <w:tcW w:w="285" w:type="dxa"/>
          </w:tcPr>
          <w:p w:rsidR="00DC35E2" w:rsidRDefault="00DC35E2"/>
        </w:tc>
        <w:tc>
          <w:tcPr>
            <w:tcW w:w="710" w:type="dxa"/>
          </w:tcPr>
          <w:p w:rsidR="00DC35E2" w:rsidRDefault="00DC35E2"/>
        </w:tc>
        <w:tc>
          <w:tcPr>
            <w:tcW w:w="1419" w:type="dxa"/>
          </w:tcPr>
          <w:p w:rsidR="00DC35E2" w:rsidRDefault="00DC35E2"/>
        </w:tc>
        <w:tc>
          <w:tcPr>
            <w:tcW w:w="1419" w:type="dxa"/>
          </w:tcPr>
          <w:p w:rsidR="00DC35E2" w:rsidRDefault="00DC35E2"/>
        </w:tc>
        <w:tc>
          <w:tcPr>
            <w:tcW w:w="710" w:type="dxa"/>
          </w:tcPr>
          <w:p w:rsidR="00DC35E2" w:rsidRDefault="00DC35E2"/>
        </w:tc>
        <w:tc>
          <w:tcPr>
            <w:tcW w:w="426" w:type="dxa"/>
          </w:tcPr>
          <w:p w:rsidR="00DC35E2" w:rsidRDefault="00DC35E2"/>
        </w:tc>
        <w:tc>
          <w:tcPr>
            <w:tcW w:w="1277" w:type="dxa"/>
          </w:tcPr>
          <w:p w:rsidR="00DC35E2" w:rsidRDefault="00DC35E2"/>
        </w:tc>
        <w:tc>
          <w:tcPr>
            <w:tcW w:w="993" w:type="dxa"/>
          </w:tcPr>
          <w:p w:rsidR="00DC35E2" w:rsidRDefault="00DC35E2"/>
        </w:tc>
        <w:tc>
          <w:tcPr>
            <w:tcW w:w="2836" w:type="dxa"/>
          </w:tcPr>
          <w:p w:rsidR="00DC35E2" w:rsidRDefault="00DC35E2"/>
        </w:tc>
      </w:tr>
      <w:tr w:rsidR="00DC35E2">
        <w:trPr>
          <w:trHeight w:hRule="exact" w:val="277"/>
        </w:trPr>
        <w:tc>
          <w:tcPr>
            <w:tcW w:w="143" w:type="dxa"/>
          </w:tcPr>
          <w:p w:rsidR="00DC35E2" w:rsidRDefault="00DC35E2"/>
        </w:tc>
        <w:tc>
          <w:tcPr>
            <w:tcW w:w="10079" w:type="dxa"/>
            <w:gridSpan w:val="9"/>
            <w:vMerge w:val="restart"/>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35E2">
        <w:trPr>
          <w:trHeight w:hRule="exact" w:val="138"/>
        </w:trPr>
        <w:tc>
          <w:tcPr>
            <w:tcW w:w="143" w:type="dxa"/>
          </w:tcPr>
          <w:p w:rsidR="00DC35E2" w:rsidRDefault="00DC35E2"/>
        </w:tc>
        <w:tc>
          <w:tcPr>
            <w:tcW w:w="10079" w:type="dxa"/>
            <w:gridSpan w:val="9"/>
            <w:vMerge/>
            <w:shd w:val="clear" w:color="000000" w:fill="FFFFFF"/>
            <w:tcMar>
              <w:left w:w="34" w:type="dxa"/>
              <w:right w:w="34" w:type="dxa"/>
            </w:tcMar>
          </w:tcPr>
          <w:p w:rsidR="00DC35E2" w:rsidRDefault="00DC35E2"/>
        </w:tc>
      </w:tr>
      <w:tr w:rsidR="00DC35E2">
        <w:trPr>
          <w:trHeight w:hRule="exact" w:val="1666"/>
        </w:trPr>
        <w:tc>
          <w:tcPr>
            <w:tcW w:w="143" w:type="dxa"/>
          </w:tcPr>
          <w:p w:rsidR="00DC35E2" w:rsidRDefault="00DC35E2"/>
        </w:tc>
        <w:tc>
          <w:tcPr>
            <w:tcW w:w="10079" w:type="dxa"/>
            <w:gridSpan w:val="9"/>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C35E2" w:rsidRDefault="00DC35E2">
            <w:pPr>
              <w:spacing w:after="0" w:line="240" w:lineRule="auto"/>
              <w:jc w:val="center"/>
              <w:rPr>
                <w:sz w:val="24"/>
                <w:szCs w:val="24"/>
              </w:rPr>
            </w:pPr>
          </w:p>
          <w:p w:rsidR="00DC35E2" w:rsidRDefault="00F757F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C35E2" w:rsidRDefault="00DC35E2">
            <w:pPr>
              <w:spacing w:after="0" w:line="240" w:lineRule="auto"/>
              <w:jc w:val="center"/>
              <w:rPr>
                <w:sz w:val="24"/>
                <w:szCs w:val="24"/>
              </w:rPr>
            </w:pPr>
          </w:p>
          <w:p w:rsidR="00DC35E2" w:rsidRDefault="00F757FD">
            <w:pPr>
              <w:spacing w:after="0" w:line="240" w:lineRule="auto"/>
              <w:jc w:val="center"/>
              <w:rPr>
                <w:sz w:val="24"/>
                <w:szCs w:val="24"/>
              </w:rPr>
            </w:pPr>
            <w:r>
              <w:rPr>
                <w:rFonts w:ascii="Times New Roman" w:hAnsi="Times New Roman" w:cs="Times New Roman"/>
                <w:color w:val="000000"/>
                <w:sz w:val="24"/>
                <w:szCs w:val="24"/>
              </w:rPr>
              <w:t>Омск, 2021</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35E2">
        <w:trPr>
          <w:trHeight w:hRule="exact" w:val="2222"/>
        </w:trPr>
        <w:tc>
          <w:tcPr>
            <w:tcW w:w="10788"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C35E2" w:rsidRDefault="00DC35E2">
            <w:pPr>
              <w:spacing w:after="0" w:line="240" w:lineRule="auto"/>
              <w:rPr>
                <w:sz w:val="24"/>
                <w:szCs w:val="24"/>
              </w:rPr>
            </w:pPr>
          </w:p>
          <w:p w:rsidR="00DC35E2" w:rsidRDefault="00F757FD">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DC35E2" w:rsidRDefault="00DC35E2">
            <w:pPr>
              <w:spacing w:after="0" w:line="240" w:lineRule="auto"/>
              <w:rPr>
                <w:sz w:val="24"/>
                <w:szCs w:val="24"/>
              </w:rPr>
            </w:pPr>
          </w:p>
          <w:p w:rsidR="00DC35E2" w:rsidRDefault="00F757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C35E2" w:rsidRDefault="00F757FD">
            <w:pPr>
              <w:spacing w:after="0" w:line="240" w:lineRule="auto"/>
              <w:rPr>
                <w:sz w:val="24"/>
                <w:szCs w:val="24"/>
              </w:rPr>
            </w:pPr>
            <w:r>
              <w:rPr>
                <w:rFonts w:ascii="Times New Roman" w:hAnsi="Times New Roman" w:cs="Times New Roman"/>
                <w:color w:val="000000"/>
                <w:sz w:val="24"/>
                <w:szCs w:val="24"/>
              </w:rPr>
              <w:t>Протокол от 30.08.2021 г.  №1</w:t>
            </w:r>
          </w:p>
        </w:tc>
      </w:tr>
      <w:tr w:rsidR="00DC35E2">
        <w:trPr>
          <w:trHeight w:hRule="exact" w:val="277"/>
        </w:trPr>
        <w:tc>
          <w:tcPr>
            <w:tcW w:w="10788"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277"/>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35E2">
        <w:trPr>
          <w:trHeight w:hRule="exact" w:val="555"/>
        </w:trPr>
        <w:tc>
          <w:tcPr>
            <w:tcW w:w="9640" w:type="dxa"/>
          </w:tcPr>
          <w:p w:rsidR="00DC35E2" w:rsidRDefault="00DC35E2"/>
        </w:tc>
      </w:tr>
      <w:tr w:rsidR="00DC35E2">
        <w:trPr>
          <w:trHeight w:hRule="exact" w:val="8751"/>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C35E2" w:rsidRDefault="00F757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35E2" w:rsidRDefault="00F757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C35E2" w:rsidRDefault="00F757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5E2" w:rsidRDefault="00F757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5E2" w:rsidRDefault="00F757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C35E2" w:rsidRDefault="00F757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C35E2" w:rsidRDefault="00F757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C35E2" w:rsidRDefault="00F757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C35E2" w:rsidRDefault="00F757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35E2" w:rsidRDefault="00F757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C35E2" w:rsidRDefault="00F757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277"/>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C35E2">
        <w:trPr>
          <w:trHeight w:hRule="exact" w:val="14348"/>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C35E2" w:rsidRDefault="00F757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C35E2" w:rsidRDefault="00F757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C35E2" w:rsidRDefault="00F757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35E2" w:rsidRDefault="00F757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5E2" w:rsidRDefault="00F757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5E2" w:rsidRDefault="00F757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35E2" w:rsidRDefault="00F757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C35E2" w:rsidRDefault="00F757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5E2" w:rsidRDefault="00F757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DC35E2" w:rsidRDefault="00F757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и оценка рисков хозяйствующего субъекта» в течение 2021/2022 учебного года:</w:t>
            </w:r>
          </w:p>
          <w:p w:rsidR="00DC35E2" w:rsidRDefault="00F757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C35E2">
        <w:trPr>
          <w:trHeight w:hRule="exact" w:val="138"/>
        </w:trPr>
        <w:tc>
          <w:tcPr>
            <w:tcW w:w="9640" w:type="dxa"/>
          </w:tcPr>
          <w:p w:rsidR="00DC35E2" w:rsidRDefault="00DC35E2"/>
        </w:tc>
      </w:tr>
      <w:tr w:rsidR="00DC35E2">
        <w:trPr>
          <w:trHeight w:hRule="exact" w:val="626"/>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1. Наименование дисциплины: К.М.04.01 «Анализ и оценка рисков хозяйствующего субъекта».</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85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35E2">
        <w:trPr>
          <w:trHeight w:hRule="exact" w:val="138"/>
        </w:trPr>
        <w:tc>
          <w:tcPr>
            <w:tcW w:w="9640" w:type="dxa"/>
          </w:tcPr>
          <w:p w:rsidR="00DC35E2" w:rsidRDefault="00DC35E2"/>
        </w:tc>
      </w:tr>
      <w:tr w:rsidR="00DC35E2">
        <w:trPr>
          <w:trHeight w:hRule="exact" w:val="3260"/>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35E2" w:rsidRDefault="00F757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и оценка рисков хозяйствующего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35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Код компетенции: ПК-4</w:t>
            </w:r>
          </w:p>
          <w:p w:rsidR="00DC35E2" w:rsidRDefault="00F757FD">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DC35E2">
        <w:trPr>
          <w:trHeight w:hRule="exact" w:val="585"/>
        </w:trPr>
        <w:tc>
          <w:tcPr>
            <w:tcW w:w="9654" w:type="dxa"/>
            <w:shd w:val="clear" w:color="000000" w:fill="FFFFFF"/>
            <w:tcMar>
              <w:left w:w="34" w:type="dxa"/>
              <w:right w:w="34" w:type="dxa"/>
            </w:tcMar>
          </w:tcPr>
          <w:p w:rsidR="00DC35E2" w:rsidRDefault="00DC35E2">
            <w:pPr>
              <w:spacing w:after="0" w:line="240" w:lineRule="auto"/>
              <w:rPr>
                <w:sz w:val="24"/>
                <w:szCs w:val="24"/>
              </w:rPr>
            </w:pPr>
          </w:p>
          <w:p w:rsidR="00DC35E2" w:rsidRDefault="00F757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5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ПК-4.3 знать ключевые риски и средства контроля, связанные с информационными технологиями</w:t>
            </w:r>
          </w:p>
        </w:tc>
      </w:tr>
      <w:tr w:rsidR="00DC35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DC35E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DC35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DC35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ПК-4.11 уметь применять в работе принципы формирования управленческой, финансовой (бухгалтерской) и прочих видов отчетности</w:t>
            </w:r>
          </w:p>
        </w:tc>
      </w:tr>
      <w:tr w:rsidR="00DC35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DC35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ПК-4.15 уметь анализировать и оценивать информацию, выявлять причинно- следственные связи, делать выводы</w:t>
            </w:r>
          </w:p>
        </w:tc>
      </w:tr>
      <w:tr w:rsidR="00DC35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ПК-4.16 уметь применять в работе законы, подзаконные акты и локальные нормативные акты организации</w:t>
            </w:r>
          </w:p>
        </w:tc>
      </w:tr>
      <w:tr w:rsidR="00DC35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rsidR="00DC35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ПК-4.20 владеть навыками идентификации и оценка рисков объекта внутреннего аудита (бизнес- процесса, проекта, программы, под-разделения)</w:t>
            </w:r>
          </w:p>
        </w:tc>
      </w:tr>
      <w:tr w:rsidR="00DC35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rsidR="00DC35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ПК-4.23 владеть навыками предложения способов снижения рисков объекта внутреннего аудита (бизнес-процесса, проекта, программы, подразделения)</w:t>
            </w:r>
          </w:p>
        </w:tc>
      </w:tr>
      <w:tr w:rsidR="00DC35E2">
        <w:trPr>
          <w:trHeight w:hRule="exact" w:val="78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C35E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lastRenderedPageBreak/>
              <w:t>процедур внутреннего аудита с целью получения аудиторских доказательств</w:t>
            </w:r>
          </w:p>
        </w:tc>
      </w:tr>
      <w:tr w:rsidR="00DC35E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DC35E2">
        <w:trPr>
          <w:trHeight w:hRule="exact" w:val="416"/>
        </w:trPr>
        <w:tc>
          <w:tcPr>
            <w:tcW w:w="3970" w:type="dxa"/>
          </w:tcPr>
          <w:p w:rsidR="00DC35E2" w:rsidRDefault="00DC35E2"/>
        </w:tc>
        <w:tc>
          <w:tcPr>
            <w:tcW w:w="1702" w:type="dxa"/>
          </w:tcPr>
          <w:p w:rsidR="00DC35E2" w:rsidRDefault="00DC35E2"/>
        </w:tc>
        <w:tc>
          <w:tcPr>
            <w:tcW w:w="1702" w:type="dxa"/>
          </w:tcPr>
          <w:p w:rsidR="00DC35E2" w:rsidRDefault="00DC35E2"/>
        </w:tc>
        <w:tc>
          <w:tcPr>
            <w:tcW w:w="426" w:type="dxa"/>
          </w:tcPr>
          <w:p w:rsidR="00DC35E2" w:rsidRDefault="00DC35E2"/>
        </w:tc>
        <w:tc>
          <w:tcPr>
            <w:tcW w:w="710" w:type="dxa"/>
          </w:tcPr>
          <w:p w:rsidR="00DC35E2" w:rsidRDefault="00DC35E2"/>
        </w:tc>
        <w:tc>
          <w:tcPr>
            <w:tcW w:w="143" w:type="dxa"/>
          </w:tcPr>
          <w:p w:rsidR="00DC35E2" w:rsidRDefault="00DC35E2"/>
        </w:tc>
        <w:tc>
          <w:tcPr>
            <w:tcW w:w="993" w:type="dxa"/>
          </w:tcPr>
          <w:p w:rsidR="00DC35E2" w:rsidRDefault="00DC35E2"/>
        </w:tc>
      </w:tr>
      <w:tr w:rsidR="00DC35E2">
        <w:trPr>
          <w:trHeight w:hRule="exact" w:val="304"/>
        </w:trPr>
        <w:tc>
          <w:tcPr>
            <w:tcW w:w="9654" w:type="dxa"/>
            <w:gridSpan w:val="7"/>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C35E2">
        <w:trPr>
          <w:trHeight w:hRule="exact" w:val="1637"/>
        </w:trPr>
        <w:tc>
          <w:tcPr>
            <w:tcW w:w="9654" w:type="dxa"/>
            <w:gridSpan w:val="7"/>
            <w:shd w:val="clear" w:color="000000" w:fill="FFFFFF"/>
            <w:tcMar>
              <w:left w:w="34" w:type="dxa"/>
              <w:right w:w="34" w:type="dxa"/>
            </w:tcMar>
          </w:tcPr>
          <w:p w:rsidR="00DC35E2" w:rsidRDefault="00DC35E2">
            <w:pPr>
              <w:spacing w:after="0" w:line="240" w:lineRule="auto"/>
              <w:jc w:val="both"/>
              <w:rPr>
                <w:sz w:val="24"/>
                <w:szCs w:val="24"/>
              </w:rPr>
            </w:pPr>
          </w:p>
          <w:p w:rsidR="00DC35E2" w:rsidRDefault="00F757FD">
            <w:pPr>
              <w:spacing w:after="0" w:line="240" w:lineRule="auto"/>
              <w:jc w:val="both"/>
              <w:rPr>
                <w:sz w:val="24"/>
                <w:szCs w:val="24"/>
              </w:rPr>
            </w:pPr>
            <w:r>
              <w:rPr>
                <w:rFonts w:ascii="Times New Roman" w:hAnsi="Times New Roman" w:cs="Times New Roman"/>
                <w:color w:val="000000"/>
                <w:sz w:val="24"/>
                <w:szCs w:val="24"/>
              </w:rPr>
              <w:t>Дисциплина К.М.04.01 «Анализ и оценка рисков хозяйствующего субъекта» относится к обязательной части, является дисциплиной Блока &lt;не удалось определить&gt;. «&lt;не удалось определить&gt;».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DC35E2">
        <w:trPr>
          <w:trHeight w:hRule="exact" w:val="138"/>
        </w:trPr>
        <w:tc>
          <w:tcPr>
            <w:tcW w:w="3970" w:type="dxa"/>
          </w:tcPr>
          <w:p w:rsidR="00DC35E2" w:rsidRDefault="00DC35E2"/>
        </w:tc>
        <w:tc>
          <w:tcPr>
            <w:tcW w:w="1702" w:type="dxa"/>
          </w:tcPr>
          <w:p w:rsidR="00DC35E2" w:rsidRDefault="00DC35E2"/>
        </w:tc>
        <w:tc>
          <w:tcPr>
            <w:tcW w:w="1702" w:type="dxa"/>
          </w:tcPr>
          <w:p w:rsidR="00DC35E2" w:rsidRDefault="00DC35E2"/>
        </w:tc>
        <w:tc>
          <w:tcPr>
            <w:tcW w:w="426" w:type="dxa"/>
          </w:tcPr>
          <w:p w:rsidR="00DC35E2" w:rsidRDefault="00DC35E2"/>
        </w:tc>
        <w:tc>
          <w:tcPr>
            <w:tcW w:w="710" w:type="dxa"/>
          </w:tcPr>
          <w:p w:rsidR="00DC35E2" w:rsidRDefault="00DC35E2"/>
        </w:tc>
        <w:tc>
          <w:tcPr>
            <w:tcW w:w="143" w:type="dxa"/>
          </w:tcPr>
          <w:p w:rsidR="00DC35E2" w:rsidRDefault="00DC35E2"/>
        </w:tc>
        <w:tc>
          <w:tcPr>
            <w:tcW w:w="993" w:type="dxa"/>
          </w:tcPr>
          <w:p w:rsidR="00DC35E2" w:rsidRDefault="00DC35E2"/>
        </w:tc>
      </w:tr>
      <w:tr w:rsidR="00DC35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Коды</w:t>
            </w:r>
          </w:p>
          <w:p w:rsidR="00DC35E2" w:rsidRDefault="00F757FD">
            <w:pPr>
              <w:spacing w:after="0" w:line="240" w:lineRule="auto"/>
              <w:jc w:val="center"/>
              <w:rPr>
                <w:sz w:val="24"/>
                <w:szCs w:val="24"/>
              </w:rPr>
            </w:pPr>
            <w:r>
              <w:rPr>
                <w:rFonts w:ascii="Times New Roman" w:hAnsi="Times New Roman" w:cs="Times New Roman"/>
                <w:color w:val="000000"/>
                <w:sz w:val="24"/>
                <w:szCs w:val="24"/>
              </w:rPr>
              <w:t>форми-</w:t>
            </w:r>
          </w:p>
          <w:p w:rsidR="00DC35E2" w:rsidRDefault="00F757FD">
            <w:pPr>
              <w:spacing w:after="0" w:line="240" w:lineRule="auto"/>
              <w:jc w:val="center"/>
              <w:rPr>
                <w:sz w:val="24"/>
                <w:szCs w:val="24"/>
              </w:rPr>
            </w:pPr>
            <w:r>
              <w:rPr>
                <w:rFonts w:ascii="Times New Roman" w:hAnsi="Times New Roman" w:cs="Times New Roman"/>
                <w:color w:val="000000"/>
                <w:sz w:val="24"/>
                <w:szCs w:val="24"/>
              </w:rPr>
              <w:t>руемых</w:t>
            </w:r>
          </w:p>
          <w:p w:rsidR="00DC35E2" w:rsidRDefault="00F757FD">
            <w:pPr>
              <w:spacing w:after="0" w:line="240" w:lineRule="auto"/>
              <w:jc w:val="center"/>
              <w:rPr>
                <w:sz w:val="24"/>
                <w:szCs w:val="24"/>
              </w:rPr>
            </w:pPr>
            <w:r>
              <w:rPr>
                <w:rFonts w:ascii="Times New Roman" w:hAnsi="Times New Roman" w:cs="Times New Roman"/>
                <w:color w:val="000000"/>
                <w:sz w:val="24"/>
                <w:szCs w:val="24"/>
              </w:rPr>
              <w:t>компе-</w:t>
            </w:r>
          </w:p>
          <w:p w:rsidR="00DC35E2" w:rsidRDefault="00F757FD">
            <w:pPr>
              <w:spacing w:after="0" w:line="240" w:lineRule="auto"/>
              <w:jc w:val="center"/>
              <w:rPr>
                <w:sz w:val="24"/>
                <w:szCs w:val="24"/>
              </w:rPr>
            </w:pPr>
            <w:r>
              <w:rPr>
                <w:rFonts w:ascii="Times New Roman" w:hAnsi="Times New Roman" w:cs="Times New Roman"/>
                <w:color w:val="000000"/>
                <w:sz w:val="24"/>
                <w:szCs w:val="24"/>
              </w:rPr>
              <w:t>тенций</w:t>
            </w:r>
          </w:p>
        </w:tc>
      </w:tr>
      <w:tr w:rsidR="00DC35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DC35E2"/>
        </w:tc>
      </w:tr>
      <w:tr w:rsidR="00DC35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DC35E2"/>
        </w:tc>
      </w:tr>
      <w:tr w:rsidR="00DC35E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pPr>
            <w:r>
              <w:rPr>
                <w:rFonts w:ascii="Times New Roman" w:hAnsi="Times New Roman" w:cs="Times New Roman"/>
                <w:color w:val="000000"/>
              </w:rPr>
              <w:t>Бизнес-планирование</w:t>
            </w:r>
          </w:p>
          <w:p w:rsidR="00DC35E2" w:rsidRDefault="00F757FD">
            <w:pPr>
              <w:spacing w:after="0" w:line="240" w:lineRule="auto"/>
              <w:jc w:val="center"/>
            </w:pPr>
            <w:r>
              <w:rPr>
                <w:rFonts w:ascii="Times New Roman" w:hAnsi="Times New Roman" w:cs="Times New Roman"/>
                <w:color w:val="000000"/>
              </w:rPr>
              <w:t>Экономический анализ</w:t>
            </w:r>
          </w:p>
          <w:p w:rsidR="00DC35E2" w:rsidRDefault="00F757FD">
            <w:pPr>
              <w:spacing w:after="0" w:line="240" w:lineRule="auto"/>
              <w:jc w:val="center"/>
            </w:pPr>
            <w:r>
              <w:rPr>
                <w:rFonts w:ascii="Times New Roman" w:hAnsi="Times New Roman" w:cs="Times New Roman"/>
                <w:color w:val="000000"/>
              </w:rPr>
              <w:t>Микроэкономика</w:t>
            </w:r>
          </w:p>
          <w:p w:rsidR="00DC35E2" w:rsidRDefault="00F757FD">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DC35E2" w:rsidRDefault="00F757F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ПК-4</w:t>
            </w:r>
          </w:p>
        </w:tc>
      </w:tr>
      <w:tr w:rsidR="00DC35E2">
        <w:trPr>
          <w:trHeight w:hRule="exact" w:val="138"/>
        </w:trPr>
        <w:tc>
          <w:tcPr>
            <w:tcW w:w="3970" w:type="dxa"/>
          </w:tcPr>
          <w:p w:rsidR="00DC35E2" w:rsidRDefault="00DC35E2"/>
        </w:tc>
        <w:tc>
          <w:tcPr>
            <w:tcW w:w="1702" w:type="dxa"/>
          </w:tcPr>
          <w:p w:rsidR="00DC35E2" w:rsidRDefault="00DC35E2"/>
        </w:tc>
        <w:tc>
          <w:tcPr>
            <w:tcW w:w="1702" w:type="dxa"/>
          </w:tcPr>
          <w:p w:rsidR="00DC35E2" w:rsidRDefault="00DC35E2"/>
        </w:tc>
        <w:tc>
          <w:tcPr>
            <w:tcW w:w="426" w:type="dxa"/>
          </w:tcPr>
          <w:p w:rsidR="00DC35E2" w:rsidRDefault="00DC35E2"/>
        </w:tc>
        <w:tc>
          <w:tcPr>
            <w:tcW w:w="710" w:type="dxa"/>
          </w:tcPr>
          <w:p w:rsidR="00DC35E2" w:rsidRDefault="00DC35E2"/>
        </w:tc>
        <w:tc>
          <w:tcPr>
            <w:tcW w:w="143" w:type="dxa"/>
          </w:tcPr>
          <w:p w:rsidR="00DC35E2" w:rsidRDefault="00DC35E2"/>
        </w:tc>
        <w:tc>
          <w:tcPr>
            <w:tcW w:w="993" w:type="dxa"/>
          </w:tcPr>
          <w:p w:rsidR="00DC35E2" w:rsidRDefault="00DC35E2"/>
        </w:tc>
      </w:tr>
      <w:tr w:rsidR="00DC35E2">
        <w:trPr>
          <w:trHeight w:hRule="exact" w:val="1125"/>
        </w:trPr>
        <w:tc>
          <w:tcPr>
            <w:tcW w:w="9654" w:type="dxa"/>
            <w:gridSpan w:val="7"/>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35E2">
        <w:trPr>
          <w:trHeight w:hRule="exact" w:val="585"/>
        </w:trPr>
        <w:tc>
          <w:tcPr>
            <w:tcW w:w="9654" w:type="dxa"/>
            <w:gridSpan w:val="7"/>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C35E2" w:rsidRDefault="00F757FD">
            <w:pPr>
              <w:spacing w:after="0" w:line="240" w:lineRule="auto"/>
              <w:jc w:val="center"/>
              <w:rPr>
                <w:sz w:val="24"/>
                <w:szCs w:val="24"/>
              </w:rPr>
            </w:pPr>
            <w:r>
              <w:rPr>
                <w:rFonts w:ascii="Times New Roman" w:hAnsi="Times New Roman" w:cs="Times New Roman"/>
                <w:color w:val="000000"/>
                <w:sz w:val="24"/>
                <w:szCs w:val="24"/>
              </w:rPr>
              <w:t>Из них:</w:t>
            </w:r>
          </w:p>
        </w:tc>
      </w:tr>
      <w:tr w:rsidR="00DC35E2">
        <w:trPr>
          <w:trHeight w:hRule="exact" w:val="138"/>
        </w:trPr>
        <w:tc>
          <w:tcPr>
            <w:tcW w:w="3970" w:type="dxa"/>
          </w:tcPr>
          <w:p w:rsidR="00DC35E2" w:rsidRDefault="00DC35E2"/>
        </w:tc>
        <w:tc>
          <w:tcPr>
            <w:tcW w:w="1702" w:type="dxa"/>
          </w:tcPr>
          <w:p w:rsidR="00DC35E2" w:rsidRDefault="00DC35E2"/>
        </w:tc>
        <w:tc>
          <w:tcPr>
            <w:tcW w:w="1702" w:type="dxa"/>
          </w:tcPr>
          <w:p w:rsidR="00DC35E2" w:rsidRDefault="00DC35E2"/>
        </w:tc>
        <w:tc>
          <w:tcPr>
            <w:tcW w:w="426" w:type="dxa"/>
          </w:tcPr>
          <w:p w:rsidR="00DC35E2" w:rsidRDefault="00DC35E2"/>
        </w:tc>
        <w:tc>
          <w:tcPr>
            <w:tcW w:w="710" w:type="dxa"/>
          </w:tcPr>
          <w:p w:rsidR="00DC35E2" w:rsidRDefault="00DC35E2"/>
        </w:tc>
        <w:tc>
          <w:tcPr>
            <w:tcW w:w="143" w:type="dxa"/>
          </w:tcPr>
          <w:p w:rsidR="00DC35E2" w:rsidRDefault="00DC35E2"/>
        </w:tc>
        <w:tc>
          <w:tcPr>
            <w:tcW w:w="993" w:type="dxa"/>
          </w:tcPr>
          <w:p w:rsidR="00DC35E2" w:rsidRDefault="00DC35E2"/>
        </w:tc>
      </w:tr>
      <w:tr w:rsidR="00DC35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14</w:t>
            </w:r>
          </w:p>
        </w:tc>
      </w:tr>
      <w:tr w:rsidR="00DC35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6</w:t>
            </w:r>
          </w:p>
        </w:tc>
      </w:tr>
      <w:tr w:rsidR="00DC35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0</w:t>
            </w:r>
          </w:p>
        </w:tc>
      </w:tr>
      <w:tr w:rsidR="00DC35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4</w:t>
            </w:r>
          </w:p>
        </w:tc>
      </w:tr>
      <w:tr w:rsidR="00DC35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4</w:t>
            </w:r>
          </w:p>
        </w:tc>
      </w:tr>
      <w:tr w:rsidR="00DC35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155</w:t>
            </w:r>
          </w:p>
        </w:tc>
      </w:tr>
      <w:tr w:rsidR="00DC35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9</w:t>
            </w:r>
          </w:p>
        </w:tc>
      </w:tr>
      <w:tr w:rsidR="00DC35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экзамены 5</w:t>
            </w:r>
          </w:p>
        </w:tc>
      </w:tr>
      <w:tr w:rsidR="00DC35E2">
        <w:trPr>
          <w:trHeight w:hRule="exact" w:val="138"/>
        </w:trPr>
        <w:tc>
          <w:tcPr>
            <w:tcW w:w="3970" w:type="dxa"/>
          </w:tcPr>
          <w:p w:rsidR="00DC35E2" w:rsidRDefault="00DC35E2"/>
        </w:tc>
        <w:tc>
          <w:tcPr>
            <w:tcW w:w="1702" w:type="dxa"/>
          </w:tcPr>
          <w:p w:rsidR="00DC35E2" w:rsidRDefault="00DC35E2"/>
        </w:tc>
        <w:tc>
          <w:tcPr>
            <w:tcW w:w="1702" w:type="dxa"/>
          </w:tcPr>
          <w:p w:rsidR="00DC35E2" w:rsidRDefault="00DC35E2"/>
        </w:tc>
        <w:tc>
          <w:tcPr>
            <w:tcW w:w="426" w:type="dxa"/>
          </w:tcPr>
          <w:p w:rsidR="00DC35E2" w:rsidRDefault="00DC35E2"/>
        </w:tc>
        <w:tc>
          <w:tcPr>
            <w:tcW w:w="710" w:type="dxa"/>
          </w:tcPr>
          <w:p w:rsidR="00DC35E2" w:rsidRDefault="00DC35E2"/>
        </w:tc>
        <w:tc>
          <w:tcPr>
            <w:tcW w:w="143" w:type="dxa"/>
          </w:tcPr>
          <w:p w:rsidR="00DC35E2" w:rsidRDefault="00DC35E2"/>
        </w:tc>
        <w:tc>
          <w:tcPr>
            <w:tcW w:w="993" w:type="dxa"/>
          </w:tcPr>
          <w:p w:rsidR="00DC35E2" w:rsidRDefault="00DC35E2"/>
        </w:tc>
      </w:tr>
      <w:tr w:rsidR="00DC35E2">
        <w:trPr>
          <w:trHeight w:hRule="exact" w:val="1666"/>
        </w:trPr>
        <w:tc>
          <w:tcPr>
            <w:tcW w:w="9654" w:type="dxa"/>
            <w:gridSpan w:val="7"/>
            <w:shd w:val="clear" w:color="000000" w:fill="FFFFFF"/>
            <w:tcMar>
              <w:left w:w="34" w:type="dxa"/>
              <w:right w:w="34" w:type="dxa"/>
            </w:tcMar>
          </w:tcPr>
          <w:p w:rsidR="00DC35E2" w:rsidRDefault="00DC35E2">
            <w:pPr>
              <w:spacing w:after="0" w:line="240" w:lineRule="auto"/>
              <w:jc w:val="center"/>
              <w:rPr>
                <w:sz w:val="24"/>
                <w:szCs w:val="24"/>
              </w:rPr>
            </w:pPr>
          </w:p>
          <w:p w:rsidR="00DC35E2" w:rsidRDefault="00F757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5E2" w:rsidRDefault="00DC35E2">
            <w:pPr>
              <w:spacing w:after="0" w:line="240" w:lineRule="auto"/>
              <w:jc w:val="center"/>
              <w:rPr>
                <w:sz w:val="24"/>
                <w:szCs w:val="24"/>
              </w:rPr>
            </w:pPr>
          </w:p>
          <w:p w:rsidR="00DC35E2" w:rsidRDefault="00F757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35E2">
        <w:trPr>
          <w:trHeight w:hRule="exact" w:val="416"/>
        </w:trPr>
        <w:tc>
          <w:tcPr>
            <w:tcW w:w="3970" w:type="dxa"/>
          </w:tcPr>
          <w:p w:rsidR="00DC35E2" w:rsidRDefault="00DC35E2"/>
        </w:tc>
        <w:tc>
          <w:tcPr>
            <w:tcW w:w="1702" w:type="dxa"/>
          </w:tcPr>
          <w:p w:rsidR="00DC35E2" w:rsidRDefault="00DC35E2"/>
        </w:tc>
        <w:tc>
          <w:tcPr>
            <w:tcW w:w="1702" w:type="dxa"/>
          </w:tcPr>
          <w:p w:rsidR="00DC35E2" w:rsidRDefault="00DC35E2"/>
        </w:tc>
        <w:tc>
          <w:tcPr>
            <w:tcW w:w="426" w:type="dxa"/>
          </w:tcPr>
          <w:p w:rsidR="00DC35E2" w:rsidRDefault="00DC35E2"/>
        </w:tc>
        <w:tc>
          <w:tcPr>
            <w:tcW w:w="710" w:type="dxa"/>
          </w:tcPr>
          <w:p w:rsidR="00DC35E2" w:rsidRDefault="00DC35E2"/>
        </w:tc>
        <w:tc>
          <w:tcPr>
            <w:tcW w:w="143" w:type="dxa"/>
          </w:tcPr>
          <w:p w:rsidR="00DC35E2" w:rsidRDefault="00DC35E2"/>
        </w:tc>
        <w:tc>
          <w:tcPr>
            <w:tcW w:w="993" w:type="dxa"/>
          </w:tcPr>
          <w:p w:rsidR="00DC35E2" w:rsidRDefault="00DC35E2"/>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2" w:rsidRDefault="00F757FD">
            <w:pPr>
              <w:spacing w:after="0" w:line="240" w:lineRule="auto"/>
              <w:jc w:val="center"/>
              <w:rPr>
                <w:sz w:val="24"/>
                <w:szCs w:val="24"/>
              </w:rPr>
            </w:pPr>
            <w:r>
              <w:rPr>
                <w:rFonts w:ascii="Times New Roman" w:hAnsi="Times New Roman" w:cs="Times New Roman"/>
                <w:color w:val="000000"/>
                <w:sz w:val="24"/>
                <w:szCs w:val="24"/>
              </w:rPr>
              <w:t>Часов</w:t>
            </w:r>
          </w:p>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0</w:t>
            </w:r>
          </w:p>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20</w:t>
            </w:r>
          </w:p>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Классификация риска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2</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31</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44</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30</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2" w:rsidRDefault="00DC35E2"/>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2</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30</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0</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9</w:t>
            </w:r>
          </w:p>
        </w:tc>
      </w:tr>
      <w:tr w:rsidR="00DC35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2</w:t>
            </w:r>
          </w:p>
        </w:tc>
      </w:tr>
      <w:tr w:rsidR="00DC35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DC35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color w:val="000000"/>
                <w:sz w:val="24"/>
                <w:szCs w:val="24"/>
              </w:rPr>
              <w:t>180</w:t>
            </w:r>
          </w:p>
        </w:tc>
      </w:tr>
      <w:tr w:rsidR="00DC35E2">
        <w:trPr>
          <w:trHeight w:hRule="exact" w:val="9631"/>
        </w:trPr>
        <w:tc>
          <w:tcPr>
            <w:tcW w:w="9654" w:type="dxa"/>
            <w:gridSpan w:val="4"/>
            <w:shd w:val="clear" w:color="000000" w:fill="FFFFFF"/>
            <w:tcMar>
              <w:left w:w="34" w:type="dxa"/>
              <w:right w:w="34" w:type="dxa"/>
            </w:tcMar>
          </w:tcPr>
          <w:p w:rsidR="00DC35E2" w:rsidRDefault="00DC35E2">
            <w:pPr>
              <w:spacing w:after="0" w:line="240" w:lineRule="auto"/>
              <w:jc w:val="both"/>
              <w:rPr>
                <w:sz w:val="20"/>
                <w:szCs w:val="20"/>
              </w:rPr>
            </w:pPr>
          </w:p>
          <w:p w:rsidR="00DC35E2" w:rsidRDefault="00F757FD">
            <w:pPr>
              <w:spacing w:after="0" w:line="240" w:lineRule="auto"/>
              <w:jc w:val="both"/>
              <w:rPr>
                <w:sz w:val="20"/>
                <w:szCs w:val="20"/>
              </w:rPr>
            </w:pPr>
            <w:r>
              <w:rPr>
                <w:rFonts w:ascii="Times New Roman" w:hAnsi="Times New Roman" w:cs="Times New Roman"/>
                <w:color w:val="000000"/>
                <w:sz w:val="20"/>
                <w:szCs w:val="20"/>
              </w:rPr>
              <w:t>* Примечания:</w:t>
            </w:r>
          </w:p>
          <w:p w:rsidR="00DC35E2" w:rsidRDefault="00F757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35E2" w:rsidRDefault="00F757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35E2" w:rsidRDefault="00F757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C35E2" w:rsidRDefault="00F757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35E2" w:rsidRDefault="00F757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8353"/>
        </w:trPr>
        <w:tc>
          <w:tcPr>
            <w:tcW w:w="9654" w:type="dxa"/>
            <w:shd w:val="clear" w:color="000000" w:fill="FFFFFF"/>
            <w:tcMar>
              <w:left w:w="34" w:type="dxa"/>
              <w:right w:w="34" w:type="dxa"/>
            </w:tcMar>
          </w:tcPr>
          <w:p w:rsidR="00DC35E2" w:rsidRDefault="00F757FD">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5E2" w:rsidRDefault="00F757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5E2" w:rsidRDefault="00F757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35E2">
        <w:trPr>
          <w:trHeight w:hRule="exact" w:val="585"/>
        </w:trPr>
        <w:tc>
          <w:tcPr>
            <w:tcW w:w="9654" w:type="dxa"/>
            <w:shd w:val="clear" w:color="000000" w:fill="FFFFFF"/>
            <w:tcMar>
              <w:left w:w="34" w:type="dxa"/>
              <w:right w:w="34" w:type="dxa"/>
            </w:tcMar>
          </w:tcPr>
          <w:p w:rsidR="00DC35E2" w:rsidRDefault="00DC35E2">
            <w:pPr>
              <w:spacing w:after="0" w:line="240" w:lineRule="auto"/>
              <w:rPr>
                <w:sz w:val="24"/>
                <w:szCs w:val="24"/>
              </w:rPr>
            </w:pPr>
          </w:p>
          <w:p w:rsidR="00DC35E2" w:rsidRDefault="00F757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35E2">
        <w:trPr>
          <w:trHeight w:hRule="exact" w:val="277"/>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35E2">
        <w:trPr>
          <w:trHeight w:hRule="exact" w:val="26"/>
        </w:trPr>
        <w:tc>
          <w:tcPr>
            <w:tcW w:w="9654" w:type="dxa"/>
            <w:vMerge w:val="restart"/>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DC35E2">
        <w:trPr>
          <w:trHeight w:hRule="exact" w:val="277"/>
        </w:trPr>
        <w:tc>
          <w:tcPr>
            <w:tcW w:w="9654" w:type="dxa"/>
            <w:vMerge/>
            <w:shd w:val="clear" w:color="000000" w:fill="FFFFFF"/>
            <w:tcMar>
              <w:left w:w="34" w:type="dxa"/>
              <w:right w:w="34" w:type="dxa"/>
            </w:tcMar>
          </w:tcPr>
          <w:p w:rsidR="00DC35E2" w:rsidRDefault="00DC35E2"/>
        </w:tc>
      </w:tr>
      <w:tr w:rsidR="00DC35E2">
        <w:trPr>
          <w:trHeight w:hRule="exact" w:val="1096"/>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Классификация рисков и ее критерии</w:t>
            </w:r>
          </w:p>
        </w:tc>
      </w:tr>
      <w:tr w:rsidR="00DC35E2">
        <w:trPr>
          <w:trHeight w:hRule="exact" w:val="1096"/>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rsidR="00DC35E2">
        <w:trPr>
          <w:trHeight w:hRule="exact" w:val="277"/>
        </w:trPr>
        <w:tc>
          <w:tcPr>
            <w:tcW w:w="9654" w:type="dxa"/>
            <w:shd w:val="clear" w:color="000000" w:fill="FFFFFF"/>
            <w:tcMar>
              <w:left w:w="34" w:type="dxa"/>
              <w:right w:w="34" w:type="dxa"/>
            </w:tcMar>
          </w:tcPr>
          <w:p w:rsidR="00DC35E2" w:rsidRDefault="00DC35E2"/>
        </w:tc>
      </w:tr>
      <w:tr w:rsidR="00DC35E2">
        <w:trPr>
          <w:trHeight w:hRule="exact" w:val="2719"/>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Основные критерии оценки и анализа экономического рисков (последствия и вероятность их наступления) и  принципы их измерения. Виды и особенности анализа и оценки потерь, связанных от экономическим риском.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экономического риска. Метод экспертных оценок  риска. Рейтинговые методы анализа и оценки экономического риска. Имитационные методы и модели анализа и оценки экономического риска. Оценка риска на основе анализа финансового состояния фирмы. Методические особенности анализа и оценки риска конкретных факторов риска и видов бизнеса.</w:t>
            </w:r>
          </w:p>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Отношение к экономическому риску</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1366"/>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lastRenderedPageBreak/>
              <w:t>Классификация субъектов с позиции отношения к риску. Теория рационального экономического поведения предпринимателей в условиях риска.</w:t>
            </w:r>
          </w:p>
          <w:p w:rsidR="00DC35E2" w:rsidRDefault="00F757FD">
            <w:pPr>
              <w:spacing w:after="0" w:line="240" w:lineRule="auto"/>
              <w:jc w:val="both"/>
              <w:rPr>
                <w:sz w:val="24"/>
                <w:szCs w:val="24"/>
              </w:rPr>
            </w:pPr>
            <w:r>
              <w:rPr>
                <w:rFonts w:ascii="Times New Roman" w:hAnsi="Times New Roman" w:cs="Times New Roman"/>
                <w:color w:val="000000"/>
                <w:sz w:val="24"/>
                <w:szCs w:val="24"/>
              </w:rPr>
              <w:t>Институциональная теория и отношение к риску. Значение институтов и трансакционных издержек в формировании отношения к риску. Выгоды и издержки принятия риска. Выгоды и издержки принятия и сокращения рисков.</w:t>
            </w:r>
          </w:p>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DC35E2">
        <w:trPr>
          <w:trHeight w:hRule="exact" w:val="2448"/>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Понятие "риск-менеджмент". Функции,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rsidR="00DC35E2">
        <w:trPr>
          <w:trHeight w:hRule="exact" w:val="277"/>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35E2">
        <w:trPr>
          <w:trHeight w:hRule="exact" w:val="14"/>
        </w:trPr>
        <w:tc>
          <w:tcPr>
            <w:tcW w:w="9640" w:type="dxa"/>
          </w:tcPr>
          <w:p w:rsidR="00DC35E2" w:rsidRDefault="00DC35E2"/>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DC35E2">
        <w:trPr>
          <w:trHeight w:hRule="exact" w:val="285"/>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Сравнительный анализ теории риска</w:t>
            </w:r>
          </w:p>
        </w:tc>
      </w:tr>
      <w:tr w:rsidR="00DC35E2">
        <w:trPr>
          <w:trHeight w:hRule="exact" w:val="14"/>
        </w:trPr>
        <w:tc>
          <w:tcPr>
            <w:tcW w:w="9640" w:type="dxa"/>
          </w:tcPr>
          <w:p w:rsidR="00DC35E2" w:rsidRDefault="00DC35E2"/>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Классификация риска и ее критерии</w:t>
            </w:r>
          </w:p>
        </w:tc>
      </w:tr>
      <w:tr w:rsidR="00DC35E2">
        <w:trPr>
          <w:trHeight w:hRule="exact" w:val="285"/>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Анализ видов рынка</w:t>
            </w:r>
          </w:p>
        </w:tc>
      </w:tr>
      <w:tr w:rsidR="00DC35E2">
        <w:trPr>
          <w:trHeight w:hRule="exact" w:val="14"/>
        </w:trPr>
        <w:tc>
          <w:tcPr>
            <w:tcW w:w="9640" w:type="dxa"/>
          </w:tcPr>
          <w:p w:rsidR="00DC35E2" w:rsidRDefault="00DC35E2"/>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Методология анализа и оценки риска</w:t>
            </w:r>
          </w:p>
        </w:tc>
      </w:tr>
      <w:tr w:rsidR="00DC35E2">
        <w:trPr>
          <w:trHeight w:hRule="exact" w:val="285"/>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Уровни риска</w:t>
            </w:r>
          </w:p>
        </w:tc>
      </w:tr>
      <w:tr w:rsidR="00DC35E2">
        <w:trPr>
          <w:trHeight w:hRule="exact" w:val="14"/>
        </w:trPr>
        <w:tc>
          <w:tcPr>
            <w:tcW w:w="9640" w:type="dxa"/>
          </w:tcPr>
          <w:p w:rsidR="00DC35E2" w:rsidRDefault="00DC35E2"/>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DC35E2">
        <w:trPr>
          <w:trHeight w:hRule="exact" w:val="285"/>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Методы риск-менеджмента. Анализ кривой риска</w:t>
            </w:r>
          </w:p>
        </w:tc>
      </w:tr>
      <w:tr w:rsidR="00DC35E2">
        <w:trPr>
          <w:trHeight w:hRule="exact" w:val="277"/>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C35E2">
        <w:trPr>
          <w:trHeight w:hRule="exact" w:val="147"/>
        </w:trPr>
        <w:tc>
          <w:tcPr>
            <w:tcW w:w="9640" w:type="dxa"/>
          </w:tcPr>
          <w:p w:rsidR="00DC35E2" w:rsidRDefault="00DC35E2"/>
        </w:tc>
      </w:tr>
      <w:tr w:rsidR="00DC35E2">
        <w:trPr>
          <w:trHeight w:hRule="exact" w:val="31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DC35E2">
        <w:trPr>
          <w:trHeight w:hRule="exact" w:val="21"/>
        </w:trPr>
        <w:tc>
          <w:tcPr>
            <w:tcW w:w="9640" w:type="dxa"/>
          </w:tcPr>
          <w:p w:rsidR="00DC35E2" w:rsidRDefault="00DC35E2"/>
        </w:tc>
      </w:tr>
      <w:tr w:rsidR="00DC35E2">
        <w:trPr>
          <w:trHeight w:hRule="exact" w:val="58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1. Понятие и причины риска в рыночной экономике. Классическая и неоклассическая теория риска. 3. Институциональная теория риска</w:t>
            </w:r>
          </w:p>
        </w:tc>
      </w:tr>
      <w:tr w:rsidR="00DC35E2">
        <w:trPr>
          <w:trHeight w:hRule="exact" w:val="8"/>
        </w:trPr>
        <w:tc>
          <w:tcPr>
            <w:tcW w:w="9640" w:type="dxa"/>
          </w:tcPr>
          <w:p w:rsidR="00DC35E2" w:rsidRDefault="00DC35E2"/>
        </w:tc>
      </w:tr>
      <w:tr w:rsidR="00DC35E2">
        <w:trPr>
          <w:trHeight w:hRule="exact" w:val="31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Классификация рисков и ее критерии</w:t>
            </w:r>
          </w:p>
        </w:tc>
      </w:tr>
      <w:tr w:rsidR="00DC35E2">
        <w:trPr>
          <w:trHeight w:hRule="exact" w:val="21"/>
        </w:trPr>
        <w:tc>
          <w:tcPr>
            <w:tcW w:w="9640" w:type="dxa"/>
          </w:tcPr>
          <w:p w:rsidR="00DC35E2" w:rsidRDefault="00DC35E2"/>
        </w:tc>
      </w:tr>
      <w:tr w:rsidR="00DC35E2">
        <w:trPr>
          <w:trHeight w:hRule="exact" w:val="58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1. Потребительский и предпринимательский риски и их отличия. Виды предпринимательский рисков. 3. Финансовые риски</w:t>
            </w:r>
          </w:p>
        </w:tc>
      </w:tr>
      <w:tr w:rsidR="00DC35E2">
        <w:trPr>
          <w:trHeight w:hRule="exact" w:val="8"/>
        </w:trPr>
        <w:tc>
          <w:tcPr>
            <w:tcW w:w="9640" w:type="dxa"/>
          </w:tcPr>
          <w:p w:rsidR="00DC35E2" w:rsidRDefault="00DC35E2"/>
        </w:tc>
      </w:tr>
      <w:tr w:rsidR="00DC35E2">
        <w:trPr>
          <w:trHeight w:hRule="exact" w:val="31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Методология анализа и оценки риска</w:t>
            </w:r>
          </w:p>
        </w:tc>
      </w:tr>
      <w:tr w:rsidR="00DC35E2">
        <w:trPr>
          <w:trHeight w:hRule="exact" w:val="21"/>
        </w:trPr>
        <w:tc>
          <w:tcPr>
            <w:tcW w:w="9640" w:type="dxa"/>
          </w:tcPr>
          <w:p w:rsidR="00DC35E2" w:rsidRDefault="00DC35E2"/>
        </w:tc>
      </w:tr>
      <w:tr w:rsidR="00DC35E2">
        <w:trPr>
          <w:trHeight w:hRule="exact" w:val="58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1. Сущность методологии анализа и оценки риска. 2. Основные методы анализа и оценки риска. 3. Оценка и анализ риска в отдельных видах бизнеса</w:t>
            </w:r>
          </w:p>
        </w:tc>
      </w:tr>
      <w:tr w:rsidR="00DC35E2">
        <w:trPr>
          <w:trHeight w:hRule="exact" w:val="8"/>
        </w:trPr>
        <w:tc>
          <w:tcPr>
            <w:tcW w:w="9640" w:type="dxa"/>
          </w:tcPr>
          <w:p w:rsidR="00DC35E2" w:rsidRDefault="00DC35E2"/>
        </w:tc>
      </w:tr>
      <w:tr w:rsidR="00DC35E2">
        <w:trPr>
          <w:trHeight w:hRule="exact" w:val="31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Отношение к экономическому риску</w:t>
            </w:r>
          </w:p>
        </w:tc>
      </w:tr>
      <w:tr w:rsidR="00DC35E2">
        <w:trPr>
          <w:trHeight w:hRule="exact" w:val="21"/>
        </w:trPr>
        <w:tc>
          <w:tcPr>
            <w:tcW w:w="9640" w:type="dxa"/>
          </w:tcPr>
          <w:p w:rsidR="00DC35E2" w:rsidRDefault="00DC35E2"/>
        </w:tc>
      </w:tr>
      <w:tr w:rsidR="00DC35E2">
        <w:trPr>
          <w:trHeight w:hRule="exact" w:val="58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1. Виды отношения к риску. 2. Теории отношения к риску. 3. Выгоды и издержки отношения к риску</w:t>
            </w:r>
          </w:p>
        </w:tc>
      </w:tr>
      <w:tr w:rsidR="00DC35E2">
        <w:trPr>
          <w:trHeight w:hRule="exact" w:val="8"/>
        </w:trPr>
        <w:tc>
          <w:tcPr>
            <w:tcW w:w="9640" w:type="dxa"/>
          </w:tcPr>
          <w:p w:rsidR="00DC35E2" w:rsidRDefault="00DC35E2"/>
        </w:tc>
      </w:tr>
      <w:tr w:rsidR="00DC35E2">
        <w:trPr>
          <w:trHeight w:hRule="exact" w:val="314"/>
        </w:trPr>
        <w:tc>
          <w:tcPr>
            <w:tcW w:w="9654" w:type="dxa"/>
            <w:shd w:val="clear" w:color="000000" w:fill="FFFFFF"/>
            <w:tcMar>
              <w:left w:w="34" w:type="dxa"/>
              <w:right w:w="34" w:type="dxa"/>
            </w:tcMar>
          </w:tcPr>
          <w:p w:rsidR="00DC35E2" w:rsidRDefault="00F757FD">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DC35E2">
        <w:trPr>
          <w:trHeight w:hRule="exact" w:val="21"/>
        </w:trPr>
        <w:tc>
          <w:tcPr>
            <w:tcW w:w="9640" w:type="dxa"/>
          </w:tcPr>
          <w:p w:rsidR="00DC35E2" w:rsidRDefault="00DC35E2"/>
        </w:tc>
      </w:tr>
      <w:tr w:rsidR="00DC35E2">
        <w:trPr>
          <w:trHeight w:hRule="exact" w:val="58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1. Сущность риск-менеджмента, 2. Методы риск- менеджмента. Границы применения методов риск-менеджмента</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35E2">
        <w:trPr>
          <w:trHeight w:hRule="exact" w:val="855"/>
        </w:trPr>
        <w:tc>
          <w:tcPr>
            <w:tcW w:w="9654" w:type="dxa"/>
            <w:gridSpan w:val="2"/>
            <w:shd w:val="clear" w:color="000000" w:fill="FFFFFF"/>
            <w:tcMar>
              <w:left w:w="34" w:type="dxa"/>
              <w:right w:w="34" w:type="dxa"/>
            </w:tcMar>
          </w:tcPr>
          <w:p w:rsidR="00DC35E2" w:rsidRDefault="00DC35E2">
            <w:pPr>
              <w:spacing w:after="0" w:line="240" w:lineRule="auto"/>
              <w:rPr>
                <w:sz w:val="24"/>
                <w:szCs w:val="24"/>
              </w:rPr>
            </w:pPr>
          </w:p>
          <w:p w:rsidR="00DC35E2" w:rsidRDefault="00F757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C35E2">
        <w:trPr>
          <w:trHeight w:hRule="exact" w:val="4912"/>
        </w:trPr>
        <w:tc>
          <w:tcPr>
            <w:tcW w:w="9654" w:type="dxa"/>
            <w:gridSpan w:val="2"/>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и оценка рисков хозяйствующего субъекта» / Орлянский Е.А.. – Омск: Изд-во Омской гуманитарной академии, 2021.</w:t>
            </w:r>
          </w:p>
          <w:p w:rsidR="00DC35E2" w:rsidRDefault="00F757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35E2" w:rsidRDefault="00F757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35E2" w:rsidRDefault="00F757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35E2">
        <w:trPr>
          <w:trHeight w:hRule="exact" w:val="138"/>
        </w:trPr>
        <w:tc>
          <w:tcPr>
            <w:tcW w:w="285" w:type="dxa"/>
          </w:tcPr>
          <w:p w:rsidR="00DC35E2" w:rsidRDefault="00DC35E2"/>
        </w:tc>
        <w:tc>
          <w:tcPr>
            <w:tcW w:w="9356" w:type="dxa"/>
          </w:tcPr>
          <w:p w:rsidR="00DC35E2" w:rsidRDefault="00DC35E2"/>
        </w:tc>
      </w:tr>
      <w:tr w:rsidR="00DC35E2">
        <w:trPr>
          <w:trHeight w:hRule="exact" w:val="855"/>
        </w:trPr>
        <w:tc>
          <w:tcPr>
            <w:tcW w:w="9654" w:type="dxa"/>
            <w:gridSpan w:val="2"/>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C35E2" w:rsidRDefault="00F757FD">
            <w:pPr>
              <w:spacing w:after="0" w:line="240" w:lineRule="auto"/>
              <w:rPr>
                <w:sz w:val="24"/>
                <w:szCs w:val="24"/>
              </w:rPr>
            </w:pPr>
            <w:r>
              <w:rPr>
                <w:rFonts w:ascii="Times New Roman" w:hAnsi="Times New Roman" w:cs="Times New Roman"/>
                <w:b/>
                <w:color w:val="000000"/>
                <w:sz w:val="24"/>
                <w:szCs w:val="24"/>
              </w:rPr>
              <w:t>Основная:</w:t>
            </w:r>
          </w:p>
        </w:tc>
      </w:tr>
      <w:tr w:rsidR="00DC35E2">
        <w:trPr>
          <w:trHeight w:hRule="exact" w:val="555"/>
        </w:trPr>
        <w:tc>
          <w:tcPr>
            <w:tcW w:w="9654" w:type="dxa"/>
            <w:gridSpan w:val="2"/>
            <w:shd w:val="clear" w:color="000000" w:fill="FFFFFF"/>
            <w:tcMar>
              <w:left w:w="34" w:type="dxa"/>
              <w:right w:w="34" w:type="dxa"/>
            </w:tcMar>
          </w:tcPr>
          <w:p w:rsidR="00DC35E2" w:rsidRDefault="00F757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3295">
                <w:rPr>
                  <w:rStyle w:val="a3"/>
                </w:rPr>
                <w:t>https://urait.ru/bcode/450664</w:t>
              </w:r>
            </w:hyperlink>
            <w:r>
              <w:t xml:space="preserve"> </w:t>
            </w:r>
          </w:p>
        </w:tc>
      </w:tr>
      <w:tr w:rsidR="00DC35E2">
        <w:trPr>
          <w:trHeight w:hRule="exact" w:val="826"/>
        </w:trPr>
        <w:tc>
          <w:tcPr>
            <w:tcW w:w="9654" w:type="dxa"/>
            <w:gridSpan w:val="2"/>
            <w:shd w:val="clear" w:color="000000" w:fill="FFFFFF"/>
            <w:tcMar>
              <w:left w:w="34" w:type="dxa"/>
              <w:right w:w="34" w:type="dxa"/>
            </w:tcMar>
          </w:tcPr>
          <w:p w:rsidR="00DC35E2" w:rsidRDefault="00F757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3295">
                <w:rPr>
                  <w:rStyle w:val="a3"/>
                </w:rPr>
                <w:t>https://urait.ru/bcode/450126</w:t>
              </w:r>
            </w:hyperlink>
            <w:r>
              <w:t xml:space="preserve"> </w:t>
            </w:r>
          </w:p>
        </w:tc>
      </w:tr>
      <w:tr w:rsidR="00DC35E2">
        <w:trPr>
          <w:trHeight w:hRule="exact" w:val="277"/>
        </w:trPr>
        <w:tc>
          <w:tcPr>
            <w:tcW w:w="285" w:type="dxa"/>
          </w:tcPr>
          <w:p w:rsidR="00DC35E2" w:rsidRDefault="00DC35E2"/>
        </w:tc>
        <w:tc>
          <w:tcPr>
            <w:tcW w:w="9370"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i/>
                <w:color w:val="000000"/>
                <w:sz w:val="24"/>
                <w:szCs w:val="24"/>
              </w:rPr>
              <w:t>Дополнительная:</w:t>
            </w:r>
          </w:p>
        </w:tc>
      </w:tr>
      <w:tr w:rsidR="00DC35E2">
        <w:trPr>
          <w:trHeight w:hRule="exact" w:val="26"/>
        </w:trPr>
        <w:tc>
          <w:tcPr>
            <w:tcW w:w="9654" w:type="dxa"/>
            <w:gridSpan w:val="2"/>
            <w:vMerge w:val="restart"/>
            <w:shd w:val="clear" w:color="000000" w:fill="FFFFFF"/>
            <w:tcMar>
              <w:left w:w="34" w:type="dxa"/>
              <w:right w:w="34" w:type="dxa"/>
            </w:tcMar>
          </w:tcPr>
          <w:p w:rsidR="00DC35E2" w:rsidRDefault="00F757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Мозолева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таможенная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978-5-9590-0886-4.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3295">
                <w:rPr>
                  <w:rStyle w:val="a3"/>
                </w:rPr>
                <w:t>http://www.iprbookshop.ru/69853.html</w:t>
              </w:r>
            </w:hyperlink>
            <w:r>
              <w:t xml:space="preserve"> </w:t>
            </w:r>
          </w:p>
        </w:tc>
      </w:tr>
      <w:tr w:rsidR="00DC35E2">
        <w:trPr>
          <w:trHeight w:hRule="exact" w:val="799"/>
        </w:trPr>
        <w:tc>
          <w:tcPr>
            <w:tcW w:w="9654" w:type="dxa"/>
            <w:gridSpan w:val="2"/>
            <w:vMerge/>
            <w:shd w:val="clear" w:color="000000" w:fill="FFFFFF"/>
            <w:tcMar>
              <w:left w:w="34" w:type="dxa"/>
              <w:right w:w="34" w:type="dxa"/>
            </w:tcMar>
          </w:tcPr>
          <w:p w:rsidR="00DC35E2" w:rsidRDefault="00DC35E2"/>
        </w:tc>
      </w:tr>
      <w:tr w:rsidR="00DC35E2">
        <w:trPr>
          <w:trHeight w:hRule="exact" w:val="1366"/>
        </w:trPr>
        <w:tc>
          <w:tcPr>
            <w:tcW w:w="9654" w:type="dxa"/>
            <w:gridSpan w:val="2"/>
            <w:shd w:val="clear" w:color="000000" w:fill="FFFFFF"/>
            <w:tcMar>
              <w:left w:w="34" w:type="dxa"/>
              <w:right w:w="34" w:type="dxa"/>
            </w:tcMar>
          </w:tcPr>
          <w:p w:rsidR="00DC35E2" w:rsidRDefault="00F757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Энциклопедия</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Барбаумов,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Рогов,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Щукин,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Бурков,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Тихомиров,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Замковой,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Шпрингель,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Голембиовский,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Чугунова,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Энциклопедия</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978-5-9614-0824-9.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3295">
                <w:rPr>
                  <w:rStyle w:val="a3"/>
                </w:rPr>
                <w:t>http://www.iprbookshop.ru/96867.html</w:t>
              </w:r>
            </w:hyperlink>
            <w:r>
              <w:t xml:space="preserve"> </w:t>
            </w:r>
          </w:p>
        </w:tc>
      </w:tr>
      <w:tr w:rsidR="00DC35E2">
        <w:trPr>
          <w:trHeight w:hRule="exact" w:val="585"/>
        </w:trPr>
        <w:tc>
          <w:tcPr>
            <w:tcW w:w="9654" w:type="dxa"/>
            <w:gridSpan w:val="2"/>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C35E2">
        <w:trPr>
          <w:trHeight w:hRule="exact" w:val="4191"/>
        </w:trPr>
        <w:tc>
          <w:tcPr>
            <w:tcW w:w="9654" w:type="dxa"/>
            <w:gridSpan w:val="2"/>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93295">
                <w:rPr>
                  <w:rStyle w:val="a3"/>
                  <w:rFonts w:ascii="Times New Roman" w:hAnsi="Times New Roman" w:cs="Times New Roman"/>
                  <w:sz w:val="24"/>
                  <w:szCs w:val="24"/>
                </w:rPr>
                <w:t>http://www.iprbookshop.ru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93295">
                <w:rPr>
                  <w:rStyle w:val="a3"/>
                  <w:rFonts w:ascii="Times New Roman" w:hAnsi="Times New Roman" w:cs="Times New Roman"/>
                  <w:sz w:val="24"/>
                  <w:szCs w:val="24"/>
                </w:rPr>
                <w:t>http://biblio-online.ru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93295">
                <w:rPr>
                  <w:rStyle w:val="a3"/>
                  <w:rFonts w:ascii="Times New Roman" w:hAnsi="Times New Roman" w:cs="Times New Roman"/>
                  <w:sz w:val="24"/>
                  <w:szCs w:val="24"/>
                </w:rPr>
                <w:t>http://window.edu.ru/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93295">
                <w:rPr>
                  <w:rStyle w:val="a3"/>
                  <w:rFonts w:ascii="Times New Roman" w:hAnsi="Times New Roman" w:cs="Times New Roman"/>
                  <w:sz w:val="24"/>
                  <w:szCs w:val="24"/>
                </w:rPr>
                <w:t>http://elibrary.ru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93295">
                <w:rPr>
                  <w:rStyle w:val="a3"/>
                  <w:rFonts w:ascii="Times New Roman" w:hAnsi="Times New Roman" w:cs="Times New Roman"/>
                  <w:sz w:val="24"/>
                  <w:szCs w:val="24"/>
                </w:rPr>
                <w:t>http://www.sciencedirect.com</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93295">
                <w:rPr>
                  <w:rStyle w:val="a3"/>
                  <w:rFonts w:ascii="Times New Roman" w:hAnsi="Times New Roman" w:cs="Times New Roman"/>
                  <w:sz w:val="24"/>
                  <w:szCs w:val="24"/>
                </w:rPr>
                <w:t>http://journals.cambridge.org</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93295">
                <w:rPr>
                  <w:rStyle w:val="a3"/>
                  <w:rFonts w:ascii="Times New Roman" w:hAnsi="Times New Roman" w:cs="Times New Roman"/>
                  <w:sz w:val="24"/>
                  <w:szCs w:val="24"/>
                </w:rPr>
                <w:t>http://www.oxfordjoumals.org</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93295">
                <w:rPr>
                  <w:rStyle w:val="a3"/>
                  <w:rFonts w:ascii="Times New Roman" w:hAnsi="Times New Roman" w:cs="Times New Roman"/>
                  <w:sz w:val="24"/>
                  <w:szCs w:val="24"/>
                </w:rPr>
                <w:t>http://dic.academic.ru/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93295">
                <w:rPr>
                  <w:rStyle w:val="a3"/>
                  <w:rFonts w:ascii="Times New Roman" w:hAnsi="Times New Roman" w:cs="Times New Roman"/>
                  <w:sz w:val="24"/>
                  <w:szCs w:val="24"/>
                </w:rPr>
                <w:t>http://www.benran.ru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93295">
                <w:rPr>
                  <w:rStyle w:val="a3"/>
                  <w:rFonts w:ascii="Times New Roman" w:hAnsi="Times New Roman" w:cs="Times New Roman"/>
                  <w:sz w:val="24"/>
                  <w:szCs w:val="24"/>
                </w:rPr>
                <w:t>http://www.gks.ru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93295">
                <w:rPr>
                  <w:rStyle w:val="a3"/>
                  <w:rFonts w:ascii="Times New Roman" w:hAnsi="Times New Roman" w:cs="Times New Roman"/>
                  <w:sz w:val="24"/>
                  <w:szCs w:val="24"/>
                </w:rPr>
                <w:t>http://diss.rsl.ru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5694"/>
        </w:trPr>
        <w:tc>
          <w:tcPr>
            <w:tcW w:w="9654" w:type="dxa"/>
            <w:shd w:val="clear" w:color="000000" w:fill="FFFFFF"/>
            <w:tcMar>
              <w:left w:w="34" w:type="dxa"/>
              <w:right w:w="34" w:type="dxa"/>
            </w:tcMar>
          </w:tcPr>
          <w:p w:rsidR="00DC35E2" w:rsidRDefault="00193295">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35E2" w:rsidRDefault="00F757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35E2">
        <w:trPr>
          <w:trHeight w:hRule="exact" w:val="314"/>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C35E2">
        <w:trPr>
          <w:trHeight w:hRule="exact" w:val="9382"/>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35E2" w:rsidRDefault="00F757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C35E2" w:rsidRDefault="00F757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35E2" w:rsidRDefault="00F757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C35E2" w:rsidRDefault="00F757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C35E2" w:rsidRDefault="00F757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35E2" w:rsidRDefault="00F757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C35E2" w:rsidRDefault="00F757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C35E2" w:rsidRDefault="00F757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4432"/>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35E2" w:rsidRDefault="00F757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35E2" w:rsidRDefault="00F757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35E2">
        <w:trPr>
          <w:trHeight w:hRule="exact" w:val="85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35E2">
        <w:trPr>
          <w:trHeight w:hRule="exact" w:val="2989"/>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C35E2" w:rsidRDefault="00DC35E2">
            <w:pPr>
              <w:spacing w:after="0" w:line="240" w:lineRule="auto"/>
              <w:jc w:val="both"/>
              <w:rPr>
                <w:sz w:val="24"/>
                <w:szCs w:val="24"/>
              </w:rPr>
            </w:pPr>
          </w:p>
          <w:p w:rsidR="00DC35E2" w:rsidRDefault="00F757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C35E2" w:rsidRDefault="00F757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35E2" w:rsidRDefault="00F757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35E2" w:rsidRDefault="00F757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C35E2" w:rsidRDefault="00F757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C35E2" w:rsidRDefault="00F757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C35E2" w:rsidRDefault="00DC35E2">
            <w:pPr>
              <w:spacing w:after="0" w:line="240" w:lineRule="auto"/>
              <w:jc w:val="both"/>
              <w:rPr>
                <w:sz w:val="24"/>
                <w:szCs w:val="24"/>
              </w:rPr>
            </w:pPr>
          </w:p>
          <w:p w:rsidR="00DC35E2" w:rsidRDefault="00F757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93295">
                <w:rPr>
                  <w:rStyle w:val="a3"/>
                  <w:rFonts w:ascii="Times New Roman" w:hAnsi="Times New Roman" w:cs="Times New Roman"/>
                  <w:sz w:val="24"/>
                  <w:szCs w:val="24"/>
                </w:rPr>
                <w:t>http://pravo.gov.ru</w:t>
              </w:r>
            </w:hyperlink>
          </w:p>
        </w:tc>
      </w:tr>
      <w:tr w:rsidR="00DC35E2">
        <w:trPr>
          <w:trHeight w:hRule="exact" w:val="304"/>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93295">
                <w:rPr>
                  <w:rStyle w:val="a3"/>
                  <w:rFonts w:ascii="Times New Roman" w:hAnsi="Times New Roman" w:cs="Times New Roman"/>
                  <w:sz w:val="24"/>
                  <w:szCs w:val="24"/>
                </w:rPr>
                <w:t>http://edu.garant.ru/omga/</w:t>
              </w:r>
            </w:hyperlink>
          </w:p>
        </w:tc>
      </w:tr>
      <w:tr w:rsidR="00DC35E2">
        <w:trPr>
          <w:trHeight w:hRule="exact" w:val="58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93295">
                <w:rPr>
                  <w:rStyle w:val="a3"/>
                  <w:rFonts w:ascii="Times New Roman" w:hAnsi="Times New Roman" w:cs="Times New Roman"/>
                  <w:sz w:val="24"/>
                  <w:szCs w:val="24"/>
                </w:rPr>
                <w:t>http://www.consultant.ru/edu/student/study/</w:t>
              </w:r>
            </w:hyperlink>
          </w:p>
        </w:tc>
      </w:tr>
      <w:tr w:rsidR="00DC35E2">
        <w:trPr>
          <w:trHeight w:hRule="exact" w:val="314"/>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35E2">
        <w:trPr>
          <w:trHeight w:hRule="exact" w:val="5300"/>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C35E2" w:rsidRDefault="00F757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C35E2" w:rsidRDefault="00F757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C35E2" w:rsidRDefault="00F757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35E2" w:rsidRDefault="00F757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35E2" w:rsidRDefault="00F757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35E2" w:rsidRDefault="00F757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C35E2" w:rsidRDefault="00F757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C35E2" w:rsidRDefault="00F757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2448"/>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DC35E2" w:rsidRDefault="00F757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35E2" w:rsidRDefault="00F757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C35E2" w:rsidRDefault="00F757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C35E2" w:rsidRDefault="00F757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C35E2">
        <w:trPr>
          <w:trHeight w:hRule="exact" w:val="277"/>
        </w:trPr>
        <w:tc>
          <w:tcPr>
            <w:tcW w:w="9640" w:type="dxa"/>
          </w:tcPr>
          <w:p w:rsidR="00DC35E2" w:rsidRDefault="00DC35E2"/>
        </w:tc>
      </w:tr>
      <w:tr w:rsidR="00DC35E2">
        <w:trPr>
          <w:trHeight w:hRule="exact" w:val="585"/>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C35E2">
        <w:trPr>
          <w:trHeight w:hRule="exact" w:val="12080"/>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35E2" w:rsidRDefault="00F757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35E2" w:rsidRDefault="00F757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35E2" w:rsidRDefault="00F757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C35E2" w:rsidRDefault="00F757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C35E2" w:rsidRDefault="00F757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DC35E2" w:rsidRDefault="00F757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2">
        <w:trPr>
          <w:trHeight w:hRule="exact" w:val="2178"/>
        </w:trPr>
        <w:tc>
          <w:tcPr>
            <w:tcW w:w="9654" w:type="dxa"/>
            <w:shd w:val="clear" w:color="000000" w:fill="FFFFFF"/>
            <w:tcMar>
              <w:left w:w="34" w:type="dxa"/>
              <w:right w:w="34" w:type="dxa"/>
            </w:tcMar>
          </w:tcPr>
          <w:p w:rsidR="00DC35E2" w:rsidRDefault="00F757FD">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C35E2">
        <w:trPr>
          <w:trHeight w:hRule="exact" w:val="2478"/>
        </w:trPr>
        <w:tc>
          <w:tcPr>
            <w:tcW w:w="9654" w:type="dxa"/>
            <w:shd w:val="clear" w:color="000000" w:fill="FFFFFF"/>
            <w:tcMar>
              <w:left w:w="34" w:type="dxa"/>
              <w:right w:w="34" w:type="dxa"/>
            </w:tcMar>
          </w:tcPr>
          <w:p w:rsidR="00DC35E2" w:rsidRDefault="00F757F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C35E2" w:rsidRDefault="00DC35E2"/>
    <w:sectPr w:rsidR="00DC35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3295"/>
    <w:rsid w:val="001F0BC7"/>
    <w:rsid w:val="006214D4"/>
    <w:rsid w:val="00D31453"/>
    <w:rsid w:val="00DC35E2"/>
    <w:rsid w:val="00E209E2"/>
    <w:rsid w:val="00F7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F0E521-8523-47BE-91C9-85155AC4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7FD"/>
    <w:rPr>
      <w:color w:val="0563C1" w:themeColor="hyperlink"/>
      <w:u w:val="single"/>
    </w:rPr>
  </w:style>
  <w:style w:type="character" w:styleId="a4">
    <w:name w:val="Unresolved Mention"/>
    <w:basedOn w:val="a0"/>
    <w:uiPriority w:val="99"/>
    <w:semiHidden/>
    <w:unhideWhenUsed/>
    <w:rsid w:val="0019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6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9853.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126"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6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6081</Words>
  <Characters>34665</Characters>
  <Application>Microsoft Office Word</Application>
  <DocSecurity>0</DocSecurity>
  <Lines>288</Lines>
  <Paragraphs>81</Paragraphs>
  <ScaleCrop>false</ScaleCrop>
  <Company>diakov.net</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2021-2022_ФГОС3++2021_Бак-ЗФО-Э(ФКиА)(21)_plx_Анализ и оценка рисков хозяйствующего субъекта</dc:title>
  <dc:creator>FastReport.NET</dc:creator>
  <cp:lastModifiedBy>Mark Bernstorf</cp:lastModifiedBy>
  <cp:revision>4</cp:revision>
  <dcterms:created xsi:type="dcterms:W3CDTF">2021-10-16T13:58:00Z</dcterms:created>
  <dcterms:modified xsi:type="dcterms:W3CDTF">2022-11-12T11:54:00Z</dcterms:modified>
</cp:coreProperties>
</file>